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 w:after="40"/>
      </w:pPr>
      <w:r>
        <w:rPr>
          <w:rFonts w:ascii="Calibri" w:hAnsi="Calibri"/>
          <w:b/>
          <w:color w:val="F28C00"/>
          <w:sz w:val="19"/>
        </w:rPr>
        <w:t>B2 GRAMMAR REFERENCE</w:t>
      </w:r>
    </w:p>
    <w:p>
      <w:pPr>
        <w:keepNext/>
        <w:spacing w:before="0" w:after="100"/>
      </w:pPr>
      <w:r>
        <w:rPr>
          <w:rFonts w:ascii="Calibri" w:hAnsi="Calibri"/>
          <w:b/>
          <w:color w:val="0B6B2C"/>
          <w:sz w:val="52"/>
        </w:rPr>
        <w:t>Five Ways to Talk About the Future</w:t>
      </w:r>
    </w:p>
    <w:p>
      <w:pPr>
        <w:pStyle w:val="Subtitle"/>
      </w:pPr>
      <w:r>
        <w:t>Predictions, possibilities, probability and official plans</w:t>
      </w:r>
    </w:p>
    <w:tbl>
      <w:tblPr>
        <w:tblW w:type="dxa" w:w="9360"/>
        <w:jc w:val="left"/>
        <w:tblLayout w:type="fixed"/>
        <w:tblLook w:firstColumn="1" w:firstRow="1" w:lastColumn="0" w:lastRow="0" w:noHBand="0" w:noVBand="1" w:val="04A0"/>
        <w:tblInd w:w="120" w:type="dxa"/>
        <w:tblBorders>
          <w:top w:val="single" w:sz="7" w:color="0B6B2C"/>
          <w:left w:val="single" w:sz="7" w:color="0B6B2C"/>
          <w:bottom w:val="single" w:sz="7" w:color="0B6B2C"/>
          <w:right w:val="single" w:sz="7" w:color="0B6B2C"/>
          <w:insideH w:val="single" w:sz="7" w:color="0B6B2C"/>
          <w:insideV w:val="single" w:sz="7" w:color="0B6B2C"/>
        </w:tblBorders>
      </w:tblPr>
      <w:tblGrid>
        <w:gridCol w:w="3120"/>
        <w:gridCol w:w="3120"/>
        <w:gridCol w:w="3120"/>
      </w:tblGrid>
      <w:tr>
        <w:tc>
          <w:tcPr>
            <w:tcW w:type="dxa" w:w="3120"/>
            <w:tcMar>
              <w:top w:w="100" w:type="dxa"/>
              <w:bottom w:w="100" w:type="dxa"/>
              <w:start w:w="120" w:type="dxa"/>
              <w:end w:w="120" w:type="dxa"/>
            </w:tcMar>
            <w:vAlign w:val="center"/>
            <w:shd w:fill="EAF7EE"/>
          </w:tcPr>
          <w:p>
            <w:pPr>
              <w:spacing w:after="0"/>
              <w:jc w:val="center"/>
            </w:pPr>
            <w:r>
              <w:rPr>
                <w:rFonts w:ascii="Calibri" w:hAnsi="Calibri"/>
                <w:b/>
                <w:color w:val="0B6B2C"/>
                <w:sz w:val="15"/>
              </w:rPr>
              <w:t>LEVEL</w:t>
              <w:br/>
            </w:r>
            <w:r>
              <w:rPr>
                <w:rFonts w:ascii="Calibri" w:hAnsi="Calibri"/>
                <w:b/>
                <w:color w:val="203029"/>
                <w:sz w:val="20"/>
              </w:rPr>
              <w:t>B2</w:t>
            </w:r>
          </w:p>
        </w:tc>
        <w:tc>
          <w:tcPr>
            <w:tcW w:type="dxa" w:w="3120"/>
            <w:tcMar>
              <w:top w:w="100" w:type="dxa"/>
              <w:bottom w:w="100" w:type="dxa"/>
              <w:start w:w="120" w:type="dxa"/>
              <w:end w:w="120" w:type="dxa"/>
            </w:tcMar>
            <w:vAlign w:val="center"/>
            <w:shd w:fill="EAF7EE"/>
          </w:tcPr>
          <w:p>
            <w:pPr>
              <w:spacing w:after="0"/>
              <w:jc w:val="center"/>
            </w:pPr>
            <w:r>
              <w:rPr>
                <w:rFonts w:ascii="Calibri" w:hAnsi="Calibri"/>
                <w:b/>
                <w:color w:val="0B6B2C"/>
                <w:sz w:val="15"/>
              </w:rPr>
              <w:t>LANGUAGE</w:t>
              <w:br/>
            </w:r>
            <w:r>
              <w:rPr>
                <w:rFonts w:ascii="Calibri" w:hAnsi="Calibri"/>
                <w:b/>
                <w:color w:val="203029"/>
                <w:sz w:val="20"/>
              </w:rPr>
              <w:t>Future forms</w:t>
            </w:r>
          </w:p>
        </w:tc>
        <w:tc>
          <w:tcPr>
            <w:tcW w:type="dxa" w:w="3120"/>
            <w:tcMar>
              <w:top w:w="100" w:type="dxa"/>
              <w:bottom w:w="100" w:type="dxa"/>
              <w:start w:w="120" w:type="dxa"/>
              <w:end w:w="120" w:type="dxa"/>
            </w:tcMar>
            <w:vAlign w:val="center"/>
            <w:shd w:fill="EAF7EE"/>
          </w:tcPr>
          <w:p>
            <w:pPr>
              <w:spacing w:after="0"/>
              <w:jc w:val="center"/>
            </w:pPr>
            <w:r>
              <w:rPr>
                <w:rFonts w:ascii="Calibri" w:hAnsi="Calibri"/>
                <w:b/>
                <w:color w:val="0B6B2C"/>
                <w:sz w:val="15"/>
              </w:rPr>
              <w:t>INCLUDES</w:t>
              <w:br/>
            </w:r>
            <w:r>
              <w:rPr>
                <w:rFonts w:ascii="Calibri" w:hAnsi="Calibri"/>
                <w:b/>
                <w:color w:val="203029"/>
                <w:sz w:val="20"/>
              </w:rPr>
              <w:t>Answer key</w:t>
            </w:r>
          </w:p>
        </w:tc>
      </w:tr>
    </w:tbl>
    <w:p>
      <w:pPr>
        <w:spacing w:after="0"/>
      </w:pPr>
    </w:p>
    <w:p>
      <w:pPr>
        <w:keepLines w:val="0"/>
        <w:spacing w:before="0" w:after="200"/>
      </w:pPr>
      <w:r>
        <w:rPr>
          <w:rFonts w:ascii="Calibri" w:hAnsi="Calibri"/>
          <w:b w:val="0"/>
          <w:i w:val="0"/>
          <w:color w:val="203029"/>
          <w:sz w:val="22"/>
        </w:rPr>
        <w:t>English has several future forms because we do not always view the future in the same way. Sometimes we feel confident, sometimes we see evidence, and sometimes we are simply describing a possibility. Here are five ways to talk about the future for making predictions and discussing future developments.</w:t>
      </w:r>
    </w:p>
    <w:p>
      <w:pPr>
        <w:pStyle w:val="Heading1"/>
      </w:pPr>
      <w:r>
        <w:t>1. Will: predictions and personal opinions</w:t>
      </w:r>
    </w:p>
    <w:p>
      <w:pPr>
        <w:keepLines w:val="0"/>
        <w:spacing w:before="0" w:after="120"/>
      </w:pPr>
      <w:r>
        <w:rPr>
          <w:rFonts w:ascii="Calibri" w:hAnsi="Calibri"/>
          <w:b w:val="0"/>
          <w:i w:val="0"/>
          <w:color w:val="203029"/>
          <w:sz w:val="22"/>
        </w:rPr>
        <w:t xml:space="preserve">Use </w:t>
      </w:r>
      <w:r>
        <w:rPr>
          <w:rFonts w:ascii="Calibri" w:hAnsi="Calibri"/>
          <w:b/>
          <w:i w:val="0"/>
          <w:color w:val="203029"/>
          <w:sz w:val="22"/>
        </w:rPr>
        <w:t>will + base verb</w:t>
      </w:r>
      <w:r>
        <w:rPr>
          <w:rFonts w:ascii="Calibri" w:hAnsi="Calibri"/>
          <w:b w:val="0"/>
          <w:i w:val="0"/>
          <w:color w:val="203029"/>
          <w:sz w:val="22"/>
        </w:rPr>
        <w:t xml:space="preserve"> when you are making a general prediction, especially one based on your opinion or belief.</w:t>
      </w:r>
    </w:p>
    <w:p>
      <w:pPr>
        <w:pStyle w:val="ListBullet"/>
      </w:pPr>
      <w:r>
        <w:rPr>
          <w:rFonts w:ascii="Calibri" w:hAnsi="Calibri"/>
          <w:i/>
          <w:color w:val="203029"/>
          <w:sz w:val="22"/>
        </w:rPr>
        <w:t xml:space="preserve"> Space tourism will become more affordable.</w:t>
      </w:r>
    </w:p>
    <w:p>
      <w:pPr>
        <w:pStyle w:val="ListBullet"/>
      </w:pPr>
      <w:r>
        <w:rPr>
          <w:rFonts w:ascii="Calibri" w:hAnsi="Calibri"/>
          <w:i/>
          <w:color w:val="203029"/>
          <w:sz w:val="22"/>
        </w:rPr>
        <w:t xml:space="preserve"> I think people will live on Mars one day.</w:t>
      </w:r>
    </w:p>
    <w:p>
      <w:pPr>
        <w:pStyle w:val="ListBullet"/>
      </w:pPr>
      <w:r>
        <w:rPr>
          <w:rFonts w:ascii="Calibri" w:hAnsi="Calibri"/>
          <w:i/>
          <w:color w:val="203029"/>
          <w:sz w:val="22"/>
        </w:rPr>
        <w:t xml:space="preserve"> It won't replace ordinary holidays.</w:t>
      </w:r>
    </w:p>
    <w:p>
      <w:pPr>
        <w:keepLines w:val="0"/>
        <w:spacing w:before="0" w:after="120"/>
      </w:pPr>
      <w:r>
        <w:rPr>
          <w:rFonts w:ascii="Calibri" w:hAnsi="Calibri"/>
          <w:b w:val="0"/>
          <w:i w:val="0"/>
          <w:color w:val="203029"/>
          <w:sz w:val="22"/>
        </w:rPr>
        <w:t xml:space="preserve">Words such as </w:t>
      </w:r>
      <w:r>
        <w:rPr>
          <w:rFonts w:ascii="Calibri" w:hAnsi="Calibri"/>
          <w:b w:val="0"/>
          <w:i/>
          <w:color w:val="203029"/>
          <w:sz w:val="22"/>
        </w:rPr>
        <w:t>think, believe, expect, probably</w:t>
      </w:r>
      <w:r>
        <w:rPr>
          <w:rFonts w:ascii="Calibri" w:hAnsi="Calibri"/>
          <w:b w:val="0"/>
          <w:i w:val="0"/>
          <w:color w:val="203029"/>
          <w:sz w:val="22"/>
        </w:rPr>
        <w:t xml:space="preserve"> and </w:t>
      </w:r>
      <w:r>
        <w:rPr>
          <w:rFonts w:ascii="Calibri" w:hAnsi="Calibri"/>
          <w:b w:val="0"/>
          <w:i/>
          <w:color w:val="203029"/>
          <w:sz w:val="22"/>
        </w:rPr>
        <w:t>definitely</w:t>
      </w:r>
      <w:r>
        <w:rPr>
          <w:rFonts w:ascii="Calibri" w:hAnsi="Calibri"/>
          <w:b w:val="0"/>
          <w:i w:val="0"/>
          <w:color w:val="203029"/>
          <w:sz w:val="22"/>
        </w:rPr>
        <w:t xml:space="preserve"> often appear with </w:t>
      </w:r>
      <w:r>
        <w:rPr>
          <w:rFonts w:ascii="Calibri" w:hAnsi="Calibri"/>
          <w:b/>
          <w:i w:val="0"/>
          <w:color w:val="203029"/>
          <w:sz w:val="22"/>
        </w:rPr>
        <w:t>will</w:t>
      </w:r>
      <w:r>
        <w:rPr>
          <w:rFonts w:ascii="Calibri" w:hAnsi="Calibri"/>
          <w:b w:val="0"/>
          <w:i w:val="0"/>
          <w:color w:val="203029"/>
          <w:sz w:val="22"/>
        </w:rPr>
        <w:t>.</w:t>
      </w:r>
    </w:p>
    <w:p>
      <w:pPr>
        <w:keepLines/>
        <w:spacing w:before="80" w:after="160"/>
        <w:ind w:left="259" w:right="144"/>
        <w:shd w:fill="FFF4E3"/>
        <w:pBdr>
          <w:left w:val="single" w:sz="18" w:space="10" w:color="F28C00"/>
        </w:pBdr>
      </w:pPr>
      <w:r>
        <w:rPr>
          <w:rFonts w:ascii="Calibri" w:hAnsi="Calibri"/>
          <w:i/>
          <w:color w:val="8A4700"/>
          <w:sz w:val="21"/>
        </w:rPr>
        <w:t>I think space hotels will be popular.</w:t>
      </w:r>
    </w:p>
    <w:p>
      <w:pPr>
        <w:keepLines w:val="0"/>
        <w:spacing w:before="0" w:after="120"/>
      </w:pPr>
      <w:r>
        <w:rPr>
          <w:rFonts w:ascii="Calibri" w:hAnsi="Calibri"/>
          <w:b/>
          <w:i w:val="0"/>
          <w:color w:val="203029"/>
          <w:sz w:val="22"/>
        </w:rPr>
        <w:t>Will</w:t>
      </w:r>
      <w:r>
        <w:rPr>
          <w:rFonts w:ascii="Calibri" w:hAnsi="Calibri"/>
          <w:b w:val="0"/>
          <w:i w:val="0"/>
          <w:color w:val="203029"/>
          <w:sz w:val="22"/>
        </w:rPr>
        <w:t xml:space="preserve"> is also common for decisions made at the moment of speaking:</w:t>
      </w:r>
    </w:p>
    <w:p>
      <w:pPr>
        <w:keepLines/>
        <w:spacing w:before="80" w:after="160"/>
        <w:ind w:left="259" w:right="144"/>
        <w:shd w:fill="FFF4E3"/>
        <w:pBdr>
          <w:left w:val="single" w:sz="18" w:space="10" w:color="F28C00"/>
        </w:pBdr>
      </w:pPr>
      <w:r>
        <w:rPr>
          <w:rFonts w:ascii="Calibri" w:hAnsi="Calibri"/>
          <w:i/>
          <w:color w:val="8A4700"/>
          <w:sz w:val="21"/>
        </w:rPr>
        <w:t>"Who wants to present first?" "I'll do it."</w:t>
      </w:r>
    </w:p>
    <w:p>
      <w:pPr>
        <w:pStyle w:val="Heading1"/>
      </w:pPr>
      <w:r>
        <w:t>2. Be going to: evidence and existing intentions</w:t>
      </w:r>
    </w:p>
    <w:p>
      <w:pPr>
        <w:keepLines w:val="0"/>
        <w:spacing w:before="0" w:after="120"/>
      </w:pPr>
      <w:r>
        <w:rPr>
          <w:rFonts w:ascii="Calibri" w:hAnsi="Calibri"/>
          <w:b w:val="0"/>
          <w:i w:val="0"/>
          <w:color w:val="203029"/>
          <w:sz w:val="22"/>
        </w:rPr>
        <w:t xml:space="preserve">Use </w:t>
      </w:r>
      <w:r>
        <w:rPr>
          <w:rFonts w:ascii="Calibri" w:hAnsi="Calibri"/>
          <w:b/>
          <w:i w:val="0"/>
          <w:color w:val="203029"/>
          <w:sz w:val="22"/>
        </w:rPr>
        <w:t>am/is/are going to + base verb</w:t>
      </w:r>
      <w:r>
        <w:rPr>
          <w:rFonts w:ascii="Calibri" w:hAnsi="Calibri"/>
          <w:b w:val="0"/>
          <w:i w:val="0"/>
          <w:color w:val="203029"/>
          <w:sz w:val="22"/>
        </w:rPr>
        <w:t xml:space="preserve"> when there is present evidence that something will happen.</w:t>
      </w:r>
    </w:p>
    <w:p>
      <w:pPr>
        <w:pStyle w:val="ListBullet"/>
      </w:pPr>
      <w:r>
        <w:rPr>
          <w:rFonts w:ascii="Calibri" w:hAnsi="Calibri"/>
          <w:i/>
          <w:color w:val="203029"/>
          <w:sz w:val="22"/>
        </w:rPr>
        <w:t xml:space="preserve"> Ticket prices are falling, so space travel is going to become more accessible.</w:t>
      </w:r>
    </w:p>
    <w:p>
      <w:pPr>
        <w:pStyle w:val="ListBullet"/>
      </w:pPr>
      <w:r>
        <w:rPr>
          <w:rFonts w:ascii="Calibri" w:hAnsi="Calibri"/>
          <w:i/>
          <w:color w:val="203029"/>
          <w:sz w:val="22"/>
        </w:rPr>
        <w:t xml:space="preserve"> Look at those dark clouds! It's going to rain.</w:t>
      </w:r>
    </w:p>
    <w:p>
      <w:pPr>
        <w:keepLines w:val="0"/>
        <w:spacing w:before="0" w:after="120"/>
      </w:pPr>
      <w:r>
        <w:rPr>
          <w:rFonts w:ascii="Calibri" w:hAnsi="Calibri"/>
          <w:b w:val="0"/>
          <w:i w:val="0"/>
          <w:color w:val="203029"/>
          <w:sz w:val="22"/>
        </w:rPr>
        <w:t>We also use it for intentions or plans decided before speaking:</w:t>
      </w:r>
    </w:p>
    <w:p>
      <w:pPr>
        <w:keepLines/>
        <w:spacing w:before="80" w:after="160"/>
        <w:ind w:left="259" w:right="144"/>
        <w:shd w:fill="FFF4E3"/>
        <w:pBdr>
          <w:left w:val="single" w:sz="18" w:space="10" w:color="F28C00"/>
        </w:pBdr>
      </w:pPr>
      <w:r>
        <w:rPr>
          <w:rFonts w:ascii="Calibri" w:hAnsi="Calibri"/>
          <w:i/>
          <w:color w:val="8A4700"/>
          <w:sz w:val="21"/>
        </w:rPr>
        <w:t>The company is going to build a new space station.</w:t>
      </w:r>
    </w:p>
    <w:p>
      <w:pPr>
        <w:keepLines w:val="0"/>
        <w:spacing w:before="0" w:after="120"/>
      </w:pPr>
      <w:r>
        <w:rPr>
          <w:rFonts w:ascii="Calibri" w:hAnsi="Calibri"/>
          <w:b w:val="0"/>
          <w:i w:val="0"/>
          <w:color w:val="203029"/>
          <w:sz w:val="22"/>
        </w:rPr>
        <w:t xml:space="preserve">The key question is: </w:t>
      </w:r>
      <w:r>
        <w:rPr>
          <w:rFonts w:ascii="Calibri" w:hAnsi="Calibri"/>
          <w:b/>
          <w:i w:val="0"/>
          <w:color w:val="203029"/>
          <w:sz w:val="22"/>
        </w:rPr>
        <w:t>Is there evidence now, or has somebody already made the decision?</w:t>
      </w:r>
      <w:r>
        <w:rPr>
          <w:rFonts w:ascii="Calibri" w:hAnsi="Calibri"/>
          <w:b w:val="0"/>
          <w:i w:val="0"/>
          <w:color w:val="203029"/>
          <w:sz w:val="22"/>
        </w:rPr>
        <w:t xml:space="preserve"> If so, </w:t>
      </w:r>
      <w:r>
        <w:rPr>
          <w:rFonts w:ascii="Calibri" w:hAnsi="Calibri"/>
          <w:b/>
          <w:i w:val="0"/>
          <w:color w:val="203029"/>
          <w:sz w:val="22"/>
        </w:rPr>
        <w:t>going to</w:t>
      </w:r>
      <w:r>
        <w:rPr>
          <w:rFonts w:ascii="Calibri" w:hAnsi="Calibri"/>
          <w:b w:val="0"/>
          <w:i w:val="0"/>
          <w:color w:val="203029"/>
          <w:sz w:val="22"/>
        </w:rPr>
        <w:t xml:space="preserve"> is often the best choice.</w:t>
      </w:r>
    </w:p>
    <w:p>
      <w:pPr>
        <w:pStyle w:val="Heading1"/>
      </w:pPr>
      <w:r>
        <w:t>3. May, might and could: future possibilities</w:t>
      </w:r>
    </w:p>
    <w:p>
      <w:pPr>
        <w:keepLines w:val="0"/>
        <w:spacing w:before="0" w:after="120"/>
      </w:pPr>
      <w:r>
        <w:rPr>
          <w:rFonts w:ascii="Calibri" w:hAnsi="Calibri"/>
          <w:b w:val="0"/>
          <w:i w:val="0"/>
          <w:color w:val="203029"/>
          <w:sz w:val="22"/>
        </w:rPr>
        <w:t xml:space="preserve">Use </w:t>
      </w:r>
      <w:r>
        <w:rPr>
          <w:rFonts w:ascii="Calibri" w:hAnsi="Calibri"/>
          <w:b/>
          <w:i w:val="0"/>
          <w:color w:val="203029"/>
          <w:sz w:val="22"/>
        </w:rPr>
        <w:t>may, might or could + base verb</w:t>
      </w:r>
      <w:r>
        <w:rPr>
          <w:rFonts w:ascii="Calibri" w:hAnsi="Calibri"/>
          <w:b w:val="0"/>
          <w:i w:val="0"/>
          <w:color w:val="203029"/>
          <w:sz w:val="22"/>
        </w:rPr>
        <w:t xml:space="preserve"> when something is possible but uncertain.</w:t>
      </w:r>
    </w:p>
    <w:p>
      <w:pPr>
        <w:pStyle w:val="ListBullet"/>
      </w:pPr>
      <w:r>
        <w:rPr>
          <w:rFonts w:ascii="Calibri" w:hAnsi="Calibri"/>
          <w:i/>
          <w:color w:val="203029"/>
          <w:sz w:val="22"/>
        </w:rPr>
        <w:t xml:space="preserve"> Space hotels may become common.</w:t>
      </w:r>
    </w:p>
    <w:p>
      <w:pPr>
        <w:pStyle w:val="ListBullet"/>
      </w:pPr>
      <w:r>
        <w:rPr>
          <w:rFonts w:ascii="Calibri" w:hAnsi="Calibri"/>
          <w:i/>
          <w:color w:val="203029"/>
          <w:sz w:val="22"/>
        </w:rPr>
        <w:t xml:space="preserve"> Tourists might travel around the Moon.</w:t>
      </w:r>
    </w:p>
    <w:p>
      <w:pPr>
        <w:pStyle w:val="ListBullet"/>
      </w:pPr>
      <w:r>
        <w:rPr>
          <w:rFonts w:ascii="Calibri" w:hAnsi="Calibri"/>
          <w:i/>
          <w:color w:val="203029"/>
          <w:sz w:val="22"/>
        </w:rPr>
        <w:t xml:space="preserve"> Reusable rockets could reduce costs.</w:t>
      </w:r>
    </w:p>
    <w:p>
      <w:pPr>
        <w:keepLines w:val="0"/>
        <w:spacing w:before="0" w:after="120"/>
      </w:pPr>
      <w:r>
        <w:rPr>
          <w:rFonts w:ascii="Calibri" w:hAnsi="Calibri"/>
          <w:b w:val="0"/>
          <w:i w:val="0"/>
          <w:color w:val="203029"/>
          <w:sz w:val="22"/>
        </w:rPr>
        <w:t xml:space="preserve">In predictions, these forms often have very similar meanings. </w:t>
      </w:r>
      <w:r>
        <w:rPr>
          <w:rFonts w:ascii="Calibri" w:hAnsi="Calibri"/>
          <w:b/>
          <w:i w:val="0"/>
          <w:color w:val="203029"/>
          <w:sz w:val="22"/>
        </w:rPr>
        <w:t>Might</w:t>
      </w:r>
      <w:r>
        <w:rPr>
          <w:rFonts w:ascii="Calibri" w:hAnsi="Calibri"/>
          <w:b w:val="0"/>
          <w:i w:val="0"/>
          <w:color w:val="203029"/>
          <w:sz w:val="22"/>
        </w:rPr>
        <w:t xml:space="preserve"> can sometimes sound slightly less certain, but the difference is not always important.</w:t>
      </w:r>
    </w:p>
    <w:p>
      <w:pPr>
        <w:keepLines w:val="0"/>
        <w:spacing w:before="0" w:after="120"/>
      </w:pPr>
      <w:r>
        <w:rPr>
          <w:rFonts w:ascii="Calibri" w:hAnsi="Calibri"/>
          <w:b w:val="0"/>
          <w:i w:val="0"/>
          <w:color w:val="203029"/>
          <w:sz w:val="22"/>
        </w:rPr>
        <w:t xml:space="preserve">For negative possibilities, use </w:t>
      </w:r>
      <w:r>
        <w:rPr>
          <w:rFonts w:ascii="Calibri" w:hAnsi="Calibri"/>
          <w:b/>
          <w:i w:val="0"/>
          <w:color w:val="203029"/>
          <w:sz w:val="22"/>
        </w:rPr>
        <w:t>may not</w:t>
      </w:r>
      <w:r>
        <w:rPr>
          <w:rFonts w:ascii="Calibri" w:hAnsi="Calibri"/>
          <w:b w:val="0"/>
          <w:i w:val="0"/>
          <w:color w:val="203029"/>
          <w:sz w:val="22"/>
        </w:rPr>
        <w:t xml:space="preserve"> or </w:t>
      </w:r>
      <w:r>
        <w:rPr>
          <w:rFonts w:ascii="Calibri" w:hAnsi="Calibri"/>
          <w:b/>
          <w:i w:val="0"/>
          <w:color w:val="203029"/>
          <w:sz w:val="22"/>
        </w:rPr>
        <w:t>might not</w:t>
      </w:r>
      <w:r>
        <w:rPr>
          <w:rFonts w:ascii="Calibri" w:hAnsi="Calibri"/>
          <w:b w:val="0"/>
          <w:i w:val="0"/>
          <w:color w:val="203029"/>
          <w:sz w:val="22"/>
        </w:rPr>
        <w:t>:</w:t>
      </w:r>
    </w:p>
    <w:p>
      <w:pPr>
        <w:keepLines/>
        <w:spacing w:before="80" w:after="160"/>
        <w:ind w:left="259" w:right="144"/>
        <w:shd w:fill="FFF4E3"/>
        <w:pBdr>
          <w:left w:val="single" w:sz="18" w:space="10" w:color="F28C00"/>
        </w:pBdr>
      </w:pPr>
      <w:r>
        <w:rPr>
          <w:rFonts w:ascii="Calibri" w:hAnsi="Calibri"/>
          <w:i/>
          <w:color w:val="8A4700"/>
          <w:sz w:val="21"/>
        </w:rPr>
        <w:t>Ordinary families might not be able to afford space travel.</w:t>
      </w:r>
    </w:p>
    <w:tbl>
      <w:tblPr>
        <w:tblW w:type="dxa" w:w="9360"/>
        <w:jc w:val="left"/>
        <w:tblLayout w:type="fixed"/>
        <w:tblLook w:firstColumn="1" w:firstRow="1" w:lastColumn="0" w:lastRow="0" w:noHBand="0" w:noVBand="1" w:val="04A0"/>
        <w:tblInd w:w="120" w:type="dxa"/>
        <w:tblBorders>
          <w:top w:val="single" w:sz="7" w:color="F28C00"/>
          <w:left w:val="single" w:sz="7" w:color="F28C00"/>
          <w:bottom w:val="single" w:sz="7" w:color="F28C00"/>
          <w:right w:val="single" w:sz="7" w:color="F28C00"/>
          <w:insideH w:val="single" w:sz="7" w:color="F28C00"/>
          <w:insideV w:val="single" w:sz="7" w:color="F28C00"/>
        </w:tblBorders>
      </w:tblPr>
      <w:tblGrid>
        <w:gridCol w:w="9360"/>
      </w:tblGrid>
      <w:tr>
        <w:tc>
          <w:tcPr>
            <w:tcW w:type="dxa" w:w="9360"/>
            <w:tcMar>
              <w:top w:w="100" w:type="dxa"/>
              <w:bottom w:w="100" w:type="dxa"/>
              <w:start w:w="120" w:type="dxa"/>
              <w:end w:w="120" w:type="dxa"/>
            </w:tcMar>
            <w:vAlign w:val="center"/>
            <w:shd w:fill="FFF4E3"/>
          </w:tcPr>
          <w:p>
            <w:pPr>
              <w:spacing w:after="0"/>
            </w:pPr>
            <w:r>
              <w:rPr>
                <w:rFonts w:ascii="Calibri" w:hAnsi="Calibri"/>
                <w:b/>
                <w:color w:val="F28C00"/>
                <w:sz w:val="21"/>
              </w:rPr>
              <w:t xml:space="preserve">Be careful: </w:t>
            </w:r>
            <w:r>
              <w:rPr>
                <w:rFonts w:ascii="Calibri" w:hAnsi="Calibri"/>
                <w:color w:val="203029"/>
                <w:sz w:val="21"/>
              </w:rPr>
              <w:t>couldn't usually means that something would be impossible, not simply that it possibly will not happen.</w:t>
            </w:r>
          </w:p>
        </w:tc>
      </w:tr>
    </w:tbl>
    <w:p>
      <w:pPr>
        <w:pStyle w:val="Heading1"/>
      </w:pPr>
      <w:r>
        <w:t>4. Be likely to: probable developments</w:t>
      </w:r>
    </w:p>
    <w:p>
      <w:pPr>
        <w:keepLines w:val="0"/>
        <w:spacing w:before="0" w:after="120"/>
      </w:pPr>
      <w:r>
        <w:rPr>
          <w:rFonts w:ascii="Calibri" w:hAnsi="Calibri"/>
          <w:b w:val="0"/>
          <w:i w:val="0"/>
          <w:color w:val="203029"/>
          <w:sz w:val="22"/>
        </w:rPr>
        <w:t xml:space="preserve">Use </w:t>
      </w:r>
      <w:r>
        <w:rPr>
          <w:rFonts w:ascii="Calibri" w:hAnsi="Calibri"/>
          <w:b/>
          <w:i w:val="0"/>
          <w:color w:val="203029"/>
          <w:sz w:val="22"/>
        </w:rPr>
        <w:t>am/is/are likely to + base verb</w:t>
      </w:r>
      <w:r>
        <w:rPr>
          <w:rFonts w:ascii="Calibri" w:hAnsi="Calibri"/>
          <w:b w:val="0"/>
          <w:i w:val="0"/>
          <w:color w:val="203029"/>
          <w:sz w:val="22"/>
        </w:rPr>
        <w:t xml:space="preserve"> when you believe something will probably happen.</w:t>
      </w:r>
    </w:p>
    <w:p>
      <w:pPr>
        <w:pStyle w:val="ListBullet"/>
      </w:pPr>
      <w:r>
        <w:rPr>
          <w:rFonts w:ascii="Calibri" w:hAnsi="Calibri"/>
          <w:i/>
          <w:color w:val="203029"/>
          <w:sz w:val="22"/>
        </w:rPr>
        <w:t xml:space="preserve"> Prices are likely to fall.</w:t>
      </w:r>
    </w:p>
    <w:p>
      <w:pPr>
        <w:pStyle w:val="ListBullet"/>
      </w:pPr>
      <w:r>
        <w:rPr>
          <w:rFonts w:ascii="Calibri" w:hAnsi="Calibri"/>
          <w:i/>
          <w:color w:val="203029"/>
          <w:sz w:val="22"/>
        </w:rPr>
        <w:t xml:space="preserve"> Early space hotels are likely to attract wealthy tourists.</w:t>
      </w:r>
    </w:p>
    <w:p>
      <w:pPr>
        <w:pStyle w:val="ListBullet"/>
      </w:pPr>
      <w:r>
        <w:rPr>
          <w:rFonts w:ascii="Calibri" w:hAnsi="Calibri"/>
          <w:i/>
          <w:color w:val="203029"/>
          <w:sz w:val="22"/>
        </w:rPr>
        <w:t xml:space="preserve"> Space travel is unlikely to become affordable immediately.</w:t>
      </w:r>
    </w:p>
    <w:p>
      <w:pPr>
        <w:keepLines w:val="0"/>
        <w:spacing w:before="0" w:after="120"/>
      </w:pPr>
      <w:r>
        <w:rPr>
          <w:rFonts w:ascii="Calibri" w:hAnsi="Calibri"/>
          <w:b/>
          <w:i w:val="0"/>
          <w:color w:val="203029"/>
          <w:sz w:val="22"/>
        </w:rPr>
        <w:t>Likely to</w:t>
      </w:r>
      <w:r>
        <w:rPr>
          <w:rFonts w:ascii="Calibri" w:hAnsi="Calibri"/>
          <w:b w:val="0"/>
          <w:i w:val="0"/>
          <w:color w:val="203029"/>
          <w:sz w:val="22"/>
        </w:rPr>
        <w:t xml:space="preserve"> expresses more confidence than </w:t>
      </w:r>
      <w:r>
        <w:rPr>
          <w:rFonts w:ascii="Calibri" w:hAnsi="Calibri"/>
          <w:b w:val="0"/>
          <w:i/>
          <w:color w:val="203029"/>
          <w:sz w:val="22"/>
        </w:rPr>
        <w:t>may, might</w:t>
      </w:r>
      <w:r>
        <w:rPr>
          <w:rFonts w:ascii="Calibri" w:hAnsi="Calibri"/>
          <w:b w:val="0"/>
          <w:i w:val="0"/>
          <w:color w:val="203029"/>
          <w:sz w:val="22"/>
        </w:rPr>
        <w:t xml:space="preserve"> or </w:t>
      </w:r>
      <w:r>
        <w:rPr>
          <w:rFonts w:ascii="Calibri" w:hAnsi="Calibri"/>
          <w:b w:val="0"/>
          <w:i/>
          <w:color w:val="203029"/>
          <w:sz w:val="22"/>
        </w:rPr>
        <w:t>could</w:t>
      </w:r>
      <w:r>
        <w:rPr>
          <w:rFonts w:ascii="Calibri" w:hAnsi="Calibri"/>
          <w:b w:val="0"/>
          <w:i w:val="0"/>
          <w:color w:val="203029"/>
          <w:sz w:val="22"/>
        </w:rPr>
        <w:t>, but it is not a guarantee.</w:t>
      </w:r>
    </w:p>
    <w:p>
      <w:pPr>
        <w:pStyle w:val="Heading1"/>
      </w:pPr>
      <w:r>
        <w:t>5. Be set to: planned or officially expected events</w:t>
      </w:r>
    </w:p>
    <w:p>
      <w:pPr>
        <w:keepLines w:val="0"/>
        <w:spacing w:before="0" w:after="120"/>
      </w:pPr>
      <w:r>
        <w:rPr>
          <w:rFonts w:ascii="Calibri" w:hAnsi="Calibri"/>
          <w:b w:val="0"/>
          <w:i w:val="0"/>
          <w:color w:val="203029"/>
          <w:sz w:val="22"/>
        </w:rPr>
        <w:t xml:space="preserve">Use </w:t>
      </w:r>
      <w:r>
        <w:rPr>
          <w:rFonts w:ascii="Calibri" w:hAnsi="Calibri"/>
          <w:b/>
          <w:i w:val="0"/>
          <w:color w:val="203029"/>
          <w:sz w:val="22"/>
        </w:rPr>
        <w:t>am/is/are set to + base verb</w:t>
      </w:r>
      <w:r>
        <w:rPr>
          <w:rFonts w:ascii="Calibri" w:hAnsi="Calibri"/>
          <w:b w:val="0"/>
          <w:i w:val="0"/>
          <w:color w:val="203029"/>
          <w:sz w:val="22"/>
        </w:rPr>
        <w:t xml:space="preserve"> for developments that are arranged, announced or strongly expected.</w:t>
      </w:r>
    </w:p>
    <w:p>
      <w:pPr>
        <w:pStyle w:val="ListBullet"/>
      </w:pPr>
      <w:r>
        <w:rPr>
          <w:rFonts w:ascii="Calibri" w:hAnsi="Calibri"/>
          <w:i/>
          <w:color w:val="203029"/>
          <w:sz w:val="22"/>
        </w:rPr>
        <w:t xml:space="preserve"> A new space station is set to open in 2030.</w:t>
      </w:r>
    </w:p>
    <w:p>
      <w:pPr>
        <w:pStyle w:val="ListBullet"/>
      </w:pPr>
      <w:r>
        <w:rPr>
          <w:rFonts w:ascii="Calibri" w:hAnsi="Calibri"/>
          <w:i/>
          <w:color w:val="203029"/>
          <w:sz w:val="22"/>
        </w:rPr>
        <w:t xml:space="preserve"> The company is set to launch its rocket next year.</w:t>
      </w:r>
    </w:p>
    <w:p>
      <w:pPr>
        <w:keepLines w:val="0"/>
        <w:spacing w:before="0" w:after="120"/>
      </w:pPr>
      <w:r>
        <w:rPr>
          <w:rFonts w:ascii="Calibri" w:hAnsi="Calibri"/>
          <w:b w:val="0"/>
          <w:i w:val="0"/>
          <w:color w:val="203029"/>
          <w:sz w:val="22"/>
        </w:rPr>
        <w:t xml:space="preserve">This form is common in news reports and business writing. It sounds more official than </w:t>
      </w:r>
      <w:r>
        <w:rPr>
          <w:rFonts w:ascii="Calibri" w:hAnsi="Calibri"/>
          <w:b/>
          <w:i w:val="0"/>
          <w:color w:val="203029"/>
          <w:sz w:val="22"/>
        </w:rPr>
        <w:t>going to</w:t>
      </w:r>
      <w:r>
        <w:rPr>
          <w:rFonts w:ascii="Calibri" w:hAnsi="Calibri"/>
          <w:b w:val="0"/>
          <w:i w:val="0"/>
          <w:color w:val="203029"/>
          <w:sz w:val="22"/>
        </w:rPr>
        <w:t>, but it still does not mean 100% certainty - plans can change.</w:t>
      </w:r>
    </w:p>
    <w:p>
      <w:r>
        <w:br w:type="page"/>
      </w:r>
    </w:p>
    <w:p>
      <w:pPr>
        <w:pStyle w:val="Heading1"/>
      </w:pPr>
      <w:r>
        <w:t>Exercise answer key</w:t>
      </w:r>
    </w:p>
    <w:p>
      <w:pPr>
        <w:keepLines w:val="0"/>
        <w:spacing w:before="0" w:after="200"/>
      </w:pPr>
      <w:r>
        <w:rPr>
          <w:rFonts w:ascii="Calibri" w:hAnsi="Calibri"/>
          <w:b w:val="0"/>
          <w:i w:val="0"/>
          <w:color w:val="203029"/>
          <w:sz w:val="22"/>
        </w:rPr>
        <w:t>These answers match the revised exercise. Each phrase is used once.</w:t>
      </w:r>
    </w:p>
    <w:tbl>
      <w:tblPr>
        <w:tblW w:type="dxa" w:w="9360"/>
        <w:jc w:val="left"/>
        <w:tblLayout w:type="fixed"/>
        <w:tblLook w:firstColumn="1" w:firstRow="1" w:lastColumn="0" w:lastRow="0" w:noHBand="0" w:noVBand="1" w:val="04A0"/>
        <w:tblInd w:w="120" w:type="dxa"/>
        <w:tblBorders>
          <w:top w:val="single" w:sz="6" w:color="D9E4DC"/>
          <w:left w:val="single" w:sz="6" w:color="D9E4DC"/>
          <w:bottom w:val="single" w:sz="6" w:color="D9E4DC"/>
          <w:right w:val="single" w:sz="6" w:color="D9E4DC"/>
          <w:insideH w:val="single" w:sz="6" w:color="D9E4DC"/>
          <w:insideV w:val="single" w:sz="6" w:color="D9E4DC"/>
        </w:tblBorders>
      </w:tblPr>
      <w:tblGrid>
        <w:gridCol w:w="650"/>
        <w:gridCol w:w="4030"/>
        <w:gridCol w:w="650"/>
        <w:gridCol w:w="4030"/>
      </w:tblGrid>
      <w:tr>
        <w:tc>
          <w:tcPr>
            <w:tcW w:type="dxa" w:w="650"/>
            <w:tcMar>
              <w:top w:w="100" w:type="dxa"/>
              <w:bottom w:w="100" w:type="dxa"/>
              <w:start w:w="120" w:type="dxa"/>
              <w:end w:w="120" w:type="dxa"/>
            </w:tcMar>
            <w:vAlign w:val="center"/>
            <w:shd w:fill="0B6B2C"/>
          </w:tcPr>
          <w:p>
            <w:pPr>
              <w:spacing w:after="0"/>
              <w:jc w:val="center"/>
            </w:pPr>
            <w:r>
              <w:rPr>
                <w:rFonts w:ascii="Calibri" w:hAnsi="Calibri"/>
                <w:b/>
                <w:color w:val="FFFFFF"/>
                <w:sz w:val="19"/>
              </w:rPr>
              <w:t>No.</w:t>
            </w:r>
          </w:p>
        </w:tc>
        <w:tc>
          <w:tcPr>
            <w:tcW w:type="dxa" w:w="4030"/>
            <w:tcMar>
              <w:top w:w="100" w:type="dxa"/>
              <w:bottom w:w="100" w:type="dxa"/>
              <w:start w:w="120" w:type="dxa"/>
              <w:end w:w="120" w:type="dxa"/>
            </w:tcMar>
            <w:vAlign w:val="center"/>
            <w:shd w:fill="0B6B2C"/>
          </w:tcPr>
          <w:p>
            <w:pPr>
              <w:spacing w:after="0"/>
              <w:jc w:val="left"/>
            </w:pPr>
            <w:r>
              <w:rPr>
                <w:rFonts w:ascii="Calibri" w:hAnsi="Calibri"/>
                <w:b/>
                <w:color w:val="FFFFFF"/>
                <w:sz w:val="19"/>
              </w:rPr>
              <w:t>Answer</w:t>
            </w:r>
          </w:p>
        </w:tc>
        <w:tc>
          <w:tcPr>
            <w:tcW w:type="dxa" w:w="650"/>
            <w:tcMar>
              <w:top w:w="100" w:type="dxa"/>
              <w:bottom w:w="100" w:type="dxa"/>
              <w:start w:w="120" w:type="dxa"/>
              <w:end w:w="120" w:type="dxa"/>
            </w:tcMar>
            <w:vAlign w:val="center"/>
            <w:shd w:fill="0B6B2C"/>
          </w:tcPr>
          <w:p>
            <w:pPr>
              <w:spacing w:after="0"/>
              <w:jc w:val="center"/>
            </w:pPr>
            <w:r>
              <w:rPr>
                <w:rFonts w:ascii="Calibri" w:hAnsi="Calibri"/>
                <w:b/>
                <w:color w:val="FFFFFF"/>
                <w:sz w:val="19"/>
              </w:rPr>
              <w:t>No.</w:t>
            </w:r>
          </w:p>
        </w:tc>
        <w:tc>
          <w:tcPr>
            <w:tcW w:type="dxa" w:w="4030"/>
            <w:tcMar>
              <w:top w:w="100" w:type="dxa"/>
              <w:bottom w:w="100" w:type="dxa"/>
              <w:start w:w="120" w:type="dxa"/>
              <w:end w:w="120" w:type="dxa"/>
            </w:tcMar>
            <w:vAlign w:val="center"/>
            <w:shd w:fill="0B6B2C"/>
          </w:tcPr>
          <w:p>
            <w:pPr>
              <w:spacing w:after="0"/>
              <w:jc w:val="left"/>
            </w:pPr>
            <w:r>
              <w:rPr>
                <w:rFonts w:ascii="Calibri" w:hAnsi="Calibri"/>
                <w:b/>
                <w:color w:val="FFFFFF"/>
                <w:sz w:val="19"/>
              </w:rPr>
              <w:t>Answer</w:t>
            </w:r>
          </w:p>
        </w:tc>
      </w:tr>
      <w:tr>
        <w:tc>
          <w:tcPr>
            <w:tcW w:type="dxa" w:w="650"/>
            <w:tcMar>
              <w:top w:w="100" w:type="dxa"/>
              <w:bottom w:w="100" w:type="dxa"/>
              <w:start w:w="120" w:type="dxa"/>
              <w:end w:w="120" w:type="dxa"/>
            </w:tcMar>
            <w:vAlign w:val="center"/>
          </w:tcPr>
          <w:p>
            <w:pPr>
              <w:spacing w:after="0"/>
              <w:jc w:val="center"/>
            </w:pPr>
            <w:r>
              <w:rPr>
                <w:rFonts w:ascii="Calibri" w:hAnsi="Calibri"/>
                <w:b w:val="0"/>
                <w:color w:val="203029"/>
                <w:sz w:val="21"/>
              </w:rPr>
              <w:t>1</w:t>
            </w:r>
          </w:p>
        </w:tc>
        <w:tc>
          <w:tcPr>
            <w:tcW w:type="dxa" w:w="4030"/>
            <w:tcMar>
              <w:top w:w="100" w:type="dxa"/>
              <w:bottom w:w="100" w:type="dxa"/>
              <w:start w:w="120" w:type="dxa"/>
              <w:end w:w="120" w:type="dxa"/>
            </w:tcMar>
            <w:vAlign w:val="center"/>
          </w:tcPr>
          <w:p>
            <w:pPr>
              <w:spacing w:after="0"/>
              <w:jc w:val="left"/>
            </w:pPr>
            <w:r>
              <w:rPr>
                <w:rFonts w:ascii="Calibri" w:hAnsi="Calibri"/>
                <w:b/>
                <w:color w:val="075623"/>
                <w:sz w:val="21"/>
              </w:rPr>
              <w:t>will become</w:t>
            </w:r>
          </w:p>
        </w:tc>
        <w:tc>
          <w:tcPr>
            <w:tcW w:type="dxa" w:w="650"/>
            <w:tcMar>
              <w:top w:w="100" w:type="dxa"/>
              <w:bottom w:w="100" w:type="dxa"/>
              <w:start w:w="120" w:type="dxa"/>
              <w:end w:w="120" w:type="dxa"/>
            </w:tcMar>
            <w:vAlign w:val="center"/>
          </w:tcPr>
          <w:p>
            <w:pPr>
              <w:spacing w:after="0"/>
              <w:jc w:val="center"/>
            </w:pPr>
            <w:r>
              <w:rPr>
                <w:rFonts w:ascii="Calibri" w:hAnsi="Calibri"/>
                <w:b w:val="0"/>
                <w:color w:val="203029"/>
                <w:sz w:val="21"/>
              </w:rPr>
              <w:t>11</w:t>
            </w:r>
          </w:p>
        </w:tc>
        <w:tc>
          <w:tcPr>
            <w:tcW w:type="dxa" w:w="4030"/>
            <w:tcMar>
              <w:top w:w="100" w:type="dxa"/>
              <w:bottom w:w="100" w:type="dxa"/>
              <w:start w:w="120" w:type="dxa"/>
              <w:end w:w="120" w:type="dxa"/>
            </w:tcMar>
            <w:vAlign w:val="center"/>
          </w:tcPr>
          <w:p>
            <w:pPr>
              <w:spacing w:after="0"/>
              <w:jc w:val="left"/>
            </w:pPr>
            <w:r>
              <w:rPr>
                <w:rFonts w:ascii="Calibri" w:hAnsi="Calibri"/>
                <w:b/>
                <w:color w:val="075623"/>
                <w:sz w:val="21"/>
              </w:rPr>
              <w:t>could allow</w:t>
            </w:r>
          </w:p>
        </w:tc>
      </w:tr>
      <w:tr>
        <w:tc>
          <w:tcPr>
            <w:tcW w:type="dxa" w:w="650"/>
            <w:tcMar>
              <w:top w:w="100" w:type="dxa"/>
              <w:bottom w:w="100" w:type="dxa"/>
              <w:start w:w="120" w:type="dxa"/>
              <w:end w:w="120" w:type="dxa"/>
            </w:tcMar>
            <w:vAlign w:val="center"/>
            <w:shd w:fill="EAF7EE"/>
          </w:tcPr>
          <w:p>
            <w:pPr>
              <w:spacing w:after="0"/>
              <w:jc w:val="center"/>
            </w:pPr>
            <w:r>
              <w:rPr>
                <w:rFonts w:ascii="Calibri" w:hAnsi="Calibri"/>
                <w:b w:val="0"/>
                <w:color w:val="203029"/>
                <w:sz w:val="21"/>
              </w:rPr>
              <w:t>2</w:t>
            </w:r>
          </w:p>
        </w:tc>
        <w:tc>
          <w:tcPr>
            <w:tcW w:type="dxa" w:w="4030"/>
            <w:tcMar>
              <w:top w:w="100" w:type="dxa"/>
              <w:bottom w:w="100" w:type="dxa"/>
              <w:start w:w="120" w:type="dxa"/>
              <w:end w:w="120" w:type="dxa"/>
            </w:tcMar>
            <w:vAlign w:val="center"/>
            <w:shd w:fill="EAF7EE"/>
          </w:tcPr>
          <w:p>
            <w:pPr>
              <w:spacing w:after="0"/>
              <w:jc w:val="left"/>
            </w:pPr>
            <w:r>
              <w:rPr>
                <w:rFonts w:ascii="Calibri" w:hAnsi="Calibri"/>
                <w:b/>
                <w:color w:val="075623"/>
                <w:sz w:val="21"/>
              </w:rPr>
              <w:t>will remain</w:t>
            </w:r>
          </w:p>
        </w:tc>
        <w:tc>
          <w:tcPr>
            <w:tcW w:type="dxa" w:w="650"/>
            <w:tcMar>
              <w:top w:w="100" w:type="dxa"/>
              <w:bottom w:w="100" w:type="dxa"/>
              <w:start w:w="120" w:type="dxa"/>
              <w:end w:w="120" w:type="dxa"/>
            </w:tcMar>
            <w:vAlign w:val="center"/>
            <w:shd w:fill="EAF7EE"/>
          </w:tcPr>
          <w:p>
            <w:pPr>
              <w:spacing w:after="0"/>
              <w:jc w:val="center"/>
            </w:pPr>
            <w:r>
              <w:rPr>
                <w:rFonts w:ascii="Calibri" w:hAnsi="Calibri"/>
                <w:b w:val="0"/>
                <w:color w:val="203029"/>
                <w:sz w:val="21"/>
              </w:rPr>
              <w:t>12</w:t>
            </w:r>
          </w:p>
        </w:tc>
        <w:tc>
          <w:tcPr>
            <w:tcW w:type="dxa" w:w="4030"/>
            <w:tcMar>
              <w:top w:w="100" w:type="dxa"/>
              <w:bottom w:w="100" w:type="dxa"/>
              <w:start w:w="120" w:type="dxa"/>
              <w:end w:w="120" w:type="dxa"/>
            </w:tcMar>
            <w:vAlign w:val="center"/>
            <w:shd w:fill="EAF7EE"/>
          </w:tcPr>
          <w:p>
            <w:pPr>
              <w:spacing w:after="0"/>
              <w:jc w:val="left"/>
            </w:pPr>
            <w:r>
              <w:rPr>
                <w:rFonts w:ascii="Calibri" w:hAnsi="Calibri"/>
                <w:b/>
                <w:color w:val="075623"/>
                <w:sz w:val="21"/>
              </w:rPr>
              <w:t>could create</w:t>
            </w:r>
          </w:p>
        </w:tc>
      </w:tr>
      <w:tr>
        <w:tc>
          <w:tcPr>
            <w:tcW w:type="dxa" w:w="650"/>
            <w:tcMar>
              <w:top w:w="100" w:type="dxa"/>
              <w:bottom w:w="100" w:type="dxa"/>
              <w:start w:w="120" w:type="dxa"/>
              <w:end w:w="120" w:type="dxa"/>
            </w:tcMar>
            <w:vAlign w:val="center"/>
          </w:tcPr>
          <w:p>
            <w:pPr>
              <w:spacing w:after="0"/>
              <w:jc w:val="center"/>
            </w:pPr>
            <w:r>
              <w:rPr>
                <w:rFonts w:ascii="Calibri" w:hAnsi="Calibri"/>
                <w:b w:val="0"/>
                <w:color w:val="203029"/>
                <w:sz w:val="21"/>
              </w:rPr>
              <w:t>3</w:t>
            </w:r>
          </w:p>
        </w:tc>
        <w:tc>
          <w:tcPr>
            <w:tcW w:type="dxa" w:w="4030"/>
            <w:tcMar>
              <w:top w:w="100" w:type="dxa"/>
              <w:bottom w:w="100" w:type="dxa"/>
              <w:start w:w="120" w:type="dxa"/>
              <w:end w:w="120" w:type="dxa"/>
            </w:tcMar>
            <w:vAlign w:val="center"/>
          </w:tcPr>
          <w:p>
            <w:pPr>
              <w:spacing w:after="0"/>
              <w:jc w:val="left"/>
            </w:pPr>
            <w:r>
              <w:rPr>
                <w:rFonts w:ascii="Calibri" w:hAnsi="Calibri"/>
                <w:b/>
                <w:color w:val="075623"/>
                <w:sz w:val="21"/>
              </w:rPr>
              <w:t>will probably change</w:t>
            </w:r>
          </w:p>
        </w:tc>
        <w:tc>
          <w:tcPr>
            <w:tcW w:type="dxa" w:w="650"/>
            <w:tcMar>
              <w:top w:w="100" w:type="dxa"/>
              <w:bottom w:w="100" w:type="dxa"/>
              <w:start w:w="120" w:type="dxa"/>
              <w:end w:w="120" w:type="dxa"/>
            </w:tcMar>
            <w:vAlign w:val="center"/>
          </w:tcPr>
          <w:p>
            <w:pPr>
              <w:spacing w:after="0"/>
              <w:jc w:val="center"/>
            </w:pPr>
            <w:r>
              <w:rPr>
                <w:rFonts w:ascii="Calibri" w:hAnsi="Calibri"/>
                <w:b w:val="0"/>
                <w:color w:val="203029"/>
                <w:sz w:val="21"/>
              </w:rPr>
              <w:t>13</w:t>
            </w:r>
          </w:p>
        </w:tc>
        <w:tc>
          <w:tcPr>
            <w:tcW w:type="dxa" w:w="4030"/>
            <w:tcMar>
              <w:top w:w="100" w:type="dxa"/>
              <w:bottom w:w="100" w:type="dxa"/>
              <w:start w:w="120" w:type="dxa"/>
              <w:end w:w="120" w:type="dxa"/>
            </w:tcMar>
            <w:vAlign w:val="center"/>
          </w:tcPr>
          <w:p>
            <w:pPr>
              <w:spacing w:after="0"/>
              <w:jc w:val="left"/>
            </w:pPr>
            <w:r>
              <w:rPr>
                <w:rFonts w:ascii="Calibri" w:hAnsi="Calibri"/>
                <w:b/>
                <w:color w:val="075623"/>
                <w:sz w:val="21"/>
              </w:rPr>
              <w:t>is likely to attract</w:t>
            </w:r>
          </w:p>
        </w:tc>
      </w:tr>
      <w:tr>
        <w:tc>
          <w:tcPr>
            <w:tcW w:type="dxa" w:w="650"/>
            <w:tcMar>
              <w:top w:w="100" w:type="dxa"/>
              <w:bottom w:w="100" w:type="dxa"/>
              <w:start w:w="120" w:type="dxa"/>
              <w:end w:w="120" w:type="dxa"/>
            </w:tcMar>
            <w:vAlign w:val="center"/>
            <w:shd w:fill="EAF7EE"/>
          </w:tcPr>
          <w:p>
            <w:pPr>
              <w:spacing w:after="0"/>
              <w:jc w:val="center"/>
            </w:pPr>
            <w:r>
              <w:rPr>
                <w:rFonts w:ascii="Calibri" w:hAnsi="Calibri"/>
                <w:b w:val="0"/>
                <w:color w:val="203029"/>
                <w:sz w:val="21"/>
              </w:rPr>
              <w:t>4</w:t>
            </w:r>
          </w:p>
        </w:tc>
        <w:tc>
          <w:tcPr>
            <w:tcW w:type="dxa" w:w="4030"/>
            <w:tcMar>
              <w:top w:w="100" w:type="dxa"/>
              <w:bottom w:w="100" w:type="dxa"/>
              <w:start w:w="120" w:type="dxa"/>
              <w:end w:w="120" w:type="dxa"/>
            </w:tcMar>
            <w:vAlign w:val="center"/>
            <w:shd w:fill="EAF7EE"/>
          </w:tcPr>
          <w:p>
            <w:pPr>
              <w:spacing w:after="0"/>
              <w:jc w:val="left"/>
            </w:pPr>
            <w:r>
              <w:rPr>
                <w:rFonts w:ascii="Calibri" w:hAnsi="Calibri"/>
                <w:b/>
                <w:color w:val="075623"/>
                <w:sz w:val="21"/>
              </w:rPr>
              <w:t>won’t solve</w:t>
            </w:r>
          </w:p>
        </w:tc>
        <w:tc>
          <w:tcPr>
            <w:tcW w:type="dxa" w:w="650"/>
            <w:tcMar>
              <w:top w:w="100" w:type="dxa"/>
              <w:bottom w:w="100" w:type="dxa"/>
              <w:start w:w="120" w:type="dxa"/>
              <w:end w:w="120" w:type="dxa"/>
            </w:tcMar>
            <w:vAlign w:val="center"/>
            <w:shd w:fill="EAF7EE"/>
          </w:tcPr>
          <w:p>
            <w:pPr>
              <w:spacing w:after="0"/>
              <w:jc w:val="center"/>
            </w:pPr>
            <w:r>
              <w:rPr>
                <w:rFonts w:ascii="Calibri" w:hAnsi="Calibri"/>
                <w:b w:val="0"/>
                <w:color w:val="203029"/>
                <w:sz w:val="21"/>
              </w:rPr>
              <w:t>14</w:t>
            </w:r>
          </w:p>
        </w:tc>
        <w:tc>
          <w:tcPr>
            <w:tcW w:type="dxa" w:w="4030"/>
            <w:tcMar>
              <w:top w:w="100" w:type="dxa"/>
              <w:bottom w:w="100" w:type="dxa"/>
              <w:start w:w="120" w:type="dxa"/>
              <w:end w:w="120" w:type="dxa"/>
            </w:tcMar>
            <w:vAlign w:val="center"/>
            <w:shd w:fill="EAF7EE"/>
          </w:tcPr>
          <w:p>
            <w:pPr>
              <w:spacing w:after="0"/>
              <w:jc w:val="left"/>
            </w:pPr>
            <w:r>
              <w:rPr>
                <w:rFonts w:ascii="Calibri" w:hAnsi="Calibri"/>
                <w:b/>
                <w:color w:val="075623"/>
                <w:sz w:val="21"/>
              </w:rPr>
              <w:t>are likely to fall</w:t>
            </w:r>
          </w:p>
        </w:tc>
      </w:tr>
      <w:tr>
        <w:tc>
          <w:tcPr>
            <w:tcW w:type="dxa" w:w="650"/>
            <w:tcMar>
              <w:top w:w="100" w:type="dxa"/>
              <w:bottom w:w="100" w:type="dxa"/>
              <w:start w:w="120" w:type="dxa"/>
              <w:end w:w="120" w:type="dxa"/>
            </w:tcMar>
            <w:vAlign w:val="center"/>
          </w:tcPr>
          <w:p>
            <w:pPr>
              <w:spacing w:after="0"/>
              <w:jc w:val="center"/>
            </w:pPr>
            <w:r>
              <w:rPr>
                <w:rFonts w:ascii="Calibri" w:hAnsi="Calibri"/>
                <w:b w:val="0"/>
                <w:color w:val="203029"/>
                <w:sz w:val="21"/>
              </w:rPr>
              <w:t>5</w:t>
            </w:r>
          </w:p>
        </w:tc>
        <w:tc>
          <w:tcPr>
            <w:tcW w:type="dxa" w:w="4030"/>
            <w:tcMar>
              <w:top w:w="100" w:type="dxa"/>
              <w:bottom w:w="100" w:type="dxa"/>
              <w:start w:w="120" w:type="dxa"/>
              <w:end w:w="120" w:type="dxa"/>
            </w:tcMar>
            <w:vAlign w:val="center"/>
          </w:tcPr>
          <w:p>
            <w:pPr>
              <w:spacing w:after="0"/>
              <w:jc w:val="left"/>
            </w:pPr>
            <w:r>
              <w:rPr>
                <w:rFonts w:ascii="Calibri" w:hAnsi="Calibri"/>
                <w:b/>
                <w:color w:val="075623"/>
                <w:sz w:val="21"/>
              </w:rPr>
              <w:t>is going to test</w:t>
            </w:r>
          </w:p>
        </w:tc>
        <w:tc>
          <w:tcPr>
            <w:tcW w:type="dxa" w:w="650"/>
            <w:tcMar>
              <w:top w:w="100" w:type="dxa"/>
              <w:bottom w:w="100" w:type="dxa"/>
              <w:start w:w="120" w:type="dxa"/>
              <w:end w:w="120" w:type="dxa"/>
            </w:tcMar>
            <w:vAlign w:val="center"/>
          </w:tcPr>
          <w:p>
            <w:pPr>
              <w:spacing w:after="0"/>
              <w:jc w:val="center"/>
            </w:pPr>
            <w:r>
              <w:rPr>
                <w:rFonts w:ascii="Calibri" w:hAnsi="Calibri"/>
                <w:b w:val="0"/>
                <w:color w:val="203029"/>
                <w:sz w:val="21"/>
              </w:rPr>
              <w:t>15</w:t>
            </w:r>
          </w:p>
        </w:tc>
        <w:tc>
          <w:tcPr>
            <w:tcW w:type="dxa" w:w="4030"/>
            <w:tcMar>
              <w:top w:w="100" w:type="dxa"/>
              <w:bottom w:w="100" w:type="dxa"/>
              <w:start w:w="120" w:type="dxa"/>
              <w:end w:w="120" w:type="dxa"/>
            </w:tcMar>
            <w:vAlign w:val="center"/>
          </w:tcPr>
          <w:p>
            <w:pPr>
              <w:spacing w:after="0"/>
              <w:jc w:val="left"/>
            </w:pPr>
            <w:r>
              <w:rPr>
                <w:rFonts w:ascii="Calibri" w:hAnsi="Calibri"/>
                <w:b/>
                <w:color w:val="075623"/>
                <w:sz w:val="21"/>
              </w:rPr>
              <w:t>is unlikely to disappear</w:t>
            </w:r>
          </w:p>
        </w:tc>
      </w:tr>
      <w:tr>
        <w:tc>
          <w:tcPr>
            <w:tcW w:type="dxa" w:w="650"/>
            <w:tcMar>
              <w:top w:w="100" w:type="dxa"/>
              <w:bottom w:w="100" w:type="dxa"/>
              <w:start w:w="120" w:type="dxa"/>
              <w:end w:w="120" w:type="dxa"/>
            </w:tcMar>
            <w:vAlign w:val="center"/>
            <w:shd w:fill="EAF7EE"/>
          </w:tcPr>
          <w:p>
            <w:pPr>
              <w:spacing w:after="0"/>
              <w:jc w:val="center"/>
            </w:pPr>
            <w:r>
              <w:rPr>
                <w:rFonts w:ascii="Calibri" w:hAnsi="Calibri"/>
                <w:b w:val="0"/>
                <w:color w:val="203029"/>
                <w:sz w:val="21"/>
              </w:rPr>
              <w:t>6</w:t>
            </w:r>
          </w:p>
        </w:tc>
        <w:tc>
          <w:tcPr>
            <w:tcW w:type="dxa" w:w="4030"/>
            <w:tcMar>
              <w:top w:w="100" w:type="dxa"/>
              <w:bottom w:w="100" w:type="dxa"/>
              <w:start w:w="120" w:type="dxa"/>
              <w:end w:w="120" w:type="dxa"/>
            </w:tcMar>
            <w:vAlign w:val="center"/>
            <w:shd w:fill="EAF7EE"/>
          </w:tcPr>
          <w:p>
            <w:pPr>
              <w:spacing w:after="0"/>
              <w:jc w:val="left"/>
            </w:pPr>
            <w:r>
              <w:rPr>
                <w:rFonts w:ascii="Calibri" w:hAnsi="Calibri"/>
                <w:b/>
                <w:color w:val="075623"/>
                <w:sz w:val="21"/>
              </w:rPr>
              <w:t>are going to invest</w:t>
            </w:r>
          </w:p>
        </w:tc>
        <w:tc>
          <w:tcPr>
            <w:tcW w:type="dxa" w:w="650"/>
            <w:tcMar>
              <w:top w:w="100" w:type="dxa"/>
              <w:bottom w:w="100" w:type="dxa"/>
              <w:start w:w="120" w:type="dxa"/>
              <w:end w:w="120" w:type="dxa"/>
            </w:tcMar>
            <w:vAlign w:val="center"/>
            <w:shd w:fill="EAF7EE"/>
          </w:tcPr>
          <w:p>
            <w:pPr>
              <w:spacing w:after="0"/>
              <w:jc w:val="center"/>
            </w:pPr>
            <w:r>
              <w:rPr>
                <w:rFonts w:ascii="Calibri" w:hAnsi="Calibri"/>
                <w:b w:val="0"/>
                <w:color w:val="203029"/>
                <w:sz w:val="21"/>
              </w:rPr>
              <w:t>16</w:t>
            </w:r>
          </w:p>
        </w:tc>
        <w:tc>
          <w:tcPr>
            <w:tcW w:type="dxa" w:w="4030"/>
            <w:tcMar>
              <w:top w:w="100" w:type="dxa"/>
              <w:bottom w:w="100" w:type="dxa"/>
              <w:start w:w="120" w:type="dxa"/>
              <w:end w:w="120" w:type="dxa"/>
            </w:tcMar>
            <w:vAlign w:val="center"/>
            <w:shd w:fill="EAF7EE"/>
          </w:tcPr>
          <w:p>
            <w:pPr>
              <w:spacing w:after="0"/>
              <w:jc w:val="left"/>
            </w:pPr>
            <w:r>
              <w:rPr>
                <w:rFonts w:ascii="Calibri" w:hAnsi="Calibri"/>
                <w:b/>
                <w:color w:val="075623"/>
                <w:sz w:val="21"/>
              </w:rPr>
              <w:t>are unlikely to afford</w:t>
            </w:r>
          </w:p>
        </w:tc>
      </w:tr>
      <w:tr>
        <w:tc>
          <w:tcPr>
            <w:tcW w:type="dxa" w:w="650"/>
            <w:tcMar>
              <w:top w:w="100" w:type="dxa"/>
              <w:bottom w:w="100" w:type="dxa"/>
              <w:start w:w="120" w:type="dxa"/>
              <w:end w:w="120" w:type="dxa"/>
            </w:tcMar>
            <w:vAlign w:val="center"/>
          </w:tcPr>
          <w:p>
            <w:pPr>
              <w:spacing w:after="0"/>
              <w:jc w:val="center"/>
            </w:pPr>
            <w:r>
              <w:rPr>
                <w:rFonts w:ascii="Calibri" w:hAnsi="Calibri"/>
                <w:b w:val="0"/>
                <w:color w:val="203029"/>
                <w:sz w:val="21"/>
              </w:rPr>
              <w:t>7</w:t>
            </w:r>
          </w:p>
        </w:tc>
        <w:tc>
          <w:tcPr>
            <w:tcW w:type="dxa" w:w="4030"/>
            <w:tcMar>
              <w:top w:w="100" w:type="dxa"/>
              <w:bottom w:w="100" w:type="dxa"/>
              <w:start w:w="120" w:type="dxa"/>
              <w:end w:w="120" w:type="dxa"/>
            </w:tcMar>
            <w:vAlign w:val="center"/>
          </w:tcPr>
          <w:p>
            <w:pPr>
              <w:spacing w:after="0"/>
              <w:jc w:val="left"/>
            </w:pPr>
            <w:r>
              <w:rPr>
                <w:rFonts w:ascii="Calibri" w:hAnsi="Calibri"/>
                <w:b/>
                <w:color w:val="075623"/>
                <w:sz w:val="21"/>
              </w:rPr>
              <w:t>may increase</w:t>
            </w:r>
          </w:p>
        </w:tc>
        <w:tc>
          <w:tcPr>
            <w:tcW w:type="dxa" w:w="650"/>
            <w:tcMar>
              <w:top w:w="100" w:type="dxa"/>
              <w:bottom w:w="100" w:type="dxa"/>
              <w:start w:w="120" w:type="dxa"/>
              <w:end w:w="120" w:type="dxa"/>
            </w:tcMar>
            <w:vAlign w:val="center"/>
          </w:tcPr>
          <w:p>
            <w:pPr>
              <w:spacing w:after="0"/>
              <w:jc w:val="center"/>
            </w:pPr>
            <w:r>
              <w:rPr>
                <w:rFonts w:ascii="Calibri" w:hAnsi="Calibri"/>
                <w:b w:val="0"/>
                <w:color w:val="203029"/>
                <w:sz w:val="21"/>
              </w:rPr>
              <w:t>17</w:t>
            </w:r>
          </w:p>
        </w:tc>
        <w:tc>
          <w:tcPr>
            <w:tcW w:type="dxa" w:w="4030"/>
            <w:tcMar>
              <w:top w:w="100" w:type="dxa"/>
              <w:bottom w:w="100" w:type="dxa"/>
              <w:start w:w="120" w:type="dxa"/>
              <w:end w:w="120" w:type="dxa"/>
            </w:tcMar>
            <w:vAlign w:val="center"/>
          </w:tcPr>
          <w:p>
            <w:pPr>
              <w:spacing w:after="0"/>
              <w:jc w:val="left"/>
            </w:pPr>
            <w:r>
              <w:rPr>
                <w:rFonts w:ascii="Calibri" w:hAnsi="Calibri"/>
                <w:b/>
                <w:color w:val="075623"/>
                <w:sz w:val="21"/>
              </w:rPr>
              <w:t>is set to launch</w:t>
            </w:r>
          </w:p>
        </w:tc>
      </w:tr>
      <w:tr>
        <w:tc>
          <w:tcPr>
            <w:tcW w:type="dxa" w:w="650"/>
            <w:tcMar>
              <w:top w:w="100" w:type="dxa"/>
              <w:bottom w:w="100" w:type="dxa"/>
              <w:start w:w="120" w:type="dxa"/>
              <w:end w:w="120" w:type="dxa"/>
            </w:tcMar>
            <w:vAlign w:val="center"/>
            <w:shd w:fill="EAF7EE"/>
          </w:tcPr>
          <w:p>
            <w:pPr>
              <w:spacing w:after="0"/>
              <w:jc w:val="center"/>
            </w:pPr>
            <w:r>
              <w:rPr>
                <w:rFonts w:ascii="Calibri" w:hAnsi="Calibri"/>
                <w:b w:val="0"/>
                <w:color w:val="203029"/>
                <w:sz w:val="21"/>
              </w:rPr>
              <w:t>8</w:t>
            </w:r>
          </w:p>
        </w:tc>
        <w:tc>
          <w:tcPr>
            <w:tcW w:type="dxa" w:w="4030"/>
            <w:tcMar>
              <w:top w:w="100" w:type="dxa"/>
              <w:bottom w:w="100" w:type="dxa"/>
              <w:start w:w="120" w:type="dxa"/>
              <w:end w:w="120" w:type="dxa"/>
            </w:tcMar>
            <w:vAlign w:val="center"/>
            <w:shd w:fill="EAF7EE"/>
          </w:tcPr>
          <w:p>
            <w:pPr>
              <w:spacing w:after="0"/>
              <w:jc w:val="left"/>
            </w:pPr>
            <w:r>
              <w:rPr>
                <w:rFonts w:ascii="Calibri" w:hAnsi="Calibri"/>
                <w:b/>
                <w:color w:val="075623"/>
                <w:sz w:val="21"/>
              </w:rPr>
              <w:t>may not benefit</w:t>
            </w:r>
          </w:p>
        </w:tc>
        <w:tc>
          <w:tcPr>
            <w:tcW w:type="dxa" w:w="650"/>
            <w:tcMar>
              <w:top w:w="100" w:type="dxa"/>
              <w:bottom w:w="100" w:type="dxa"/>
              <w:start w:w="120" w:type="dxa"/>
              <w:end w:w="120" w:type="dxa"/>
            </w:tcMar>
            <w:vAlign w:val="center"/>
            <w:shd w:fill="EAF7EE"/>
          </w:tcPr>
          <w:p>
            <w:pPr>
              <w:spacing w:after="0"/>
              <w:jc w:val="center"/>
            </w:pPr>
            <w:r>
              <w:rPr>
                <w:rFonts w:ascii="Calibri" w:hAnsi="Calibri"/>
                <w:b w:val="0"/>
                <w:color w:val="203029"/>
                <w:sz w:val="21"/>
              </w:rPr>
              <w:t>18</w:t>
            </w:r>
          </w:p>
        </w:tc>
        <w:tc>
          <w:tcPr>
            <w:tcW w:type="dxa" w:w="4030"/>
            <w:tcMar>
              <w:top w:w="100" w:type="dxa"/>
              <w:bottom w:w="100" w:type="dxa"/>
              <w:start w:w="120" w:type="dxa"/>
              <w:end w:w="120" w:type="dxa"/>
            </w:tcMar>
            <w:vAlign w:val="center"/>
            <w:shd w:fill="EAF7EE"/>
          </w:tcPr>
          <w:p>
            <w:pPr>
              <w:spacing w:after="0"/>
              <w:jc w:val="left"/>
            </w:pPr>
            <w:r>
              <w:rPr>
                <w:rFonts w:ascii="Calibri" w:hAnsi="Calibri"/>
                <w:b/>
                <w:color w:val="075623"/>
                <w:sz w:val="21"/>
              </w:rPr>
              <w:t>is set to begin</w:t>
            </w:r>
          </w:p>
        </w:tc>
      </w:tr>
      <w:tr>
        <w:tc>
          <w:tcPr>
            <w:tcW w:type="dxa" w:w="650"/>
            <w:tcMar>
              <w:top w:w="100" w:type="dxa"/>
              <w:bottom w:w="100" w:type="dxa"/>
              <w:start w:w="120" w:type="dxa"/>
              <w:end w:w="120" w:type="dxa"/>
            </w:tcMar>
            <w:vAlign w:val="center"/>
          </w:tcPr>
          <w:p>
            <w:pPr>
              <w:spacing w:after="0"/>
              <w:jc w:val="center"/>
            </w:pPr>
            <w:r>
              <w:rPr>
                <w:rFonts w:ascii="Calibri" w:hAnsi="Calibri"/>
                <w:b w:val="0"/>
                <w:color w:val="203029"/>
                <w:sz w:val="21"/>
              </w:rPr>
              <w:t>9</w:t>
            </w:r>
          </w:p>
        </w:tc>
        <w:tc>
          <w:tcPr>
            <w:tcW w:type="dxa" w:w="4030"/>
            <w:tcMar>
              <w:top w:w="100" w:type="dxa"/>
              <w:bottom w:w="100" w:type="dxa"/>
              <w:start w:w="120" w:type="dxa"/>
              <w:end w:w="120" w:type="dxa"/>
            </w:tcMar>
            <w:vAlign w:val="center"/>
          </w:tcPr>
          <w:p>
            <w:pPr>
              <w:spacing w:after="0"/>
              <w:jc w:val="left"/>
            </w:pPr>
            <w:r>
              <w:rPr>
                <w:rFonts w:ascii="Calibri" w:hAnsi="Calibri"/>
                <w:b/>
                <w:color w:val="075623"/>
                <w:sz w:val="21"/>
              </w:rPr>
              <w:t>might become</w:t>
            </w:r>
          </w:p>
        </w:tc>
        <w:tc>
          <w:tcPr>
            <w:tcW w:type="dxa" w:w="650"/>
            <w:tcMar>
              <w:top w:w="100" w:type="dxa"/>
              <w:bottom w:w="100" w:type="dxa"/>
              <w:start w:w="120" w:type="dxa"/>
              <w:end w:w="120" w:type="dxa"/>
            </w:tcMar>
            <w:vAlign w:val="center"/>
          </w:tcPr>
          <w:p>
            <w:pPr>
              <w:spacing w:after="0"/>
              <w:jc w:val="center"/>
            </w:pPr>
            <w:r>
              <w:rPr>
                <w:rFonts w:ascii="Calibri" w:hAnsi="Calibri"/>
                <w:b w:val="0"/>
                <w:color w:val="203029"/>
                <w:sz w:val="21"/>
              </w:rPr>
              <w:t>19</w:t>
            </w:r>
          </w:p>
        </w:tc>
        <w:tc>
          <w:tcPr>
            <w:tcW w:type="dxa" w:w="4030"/>
            <w:tcMar>
              <w:top w:w="100" w:type="dxa"/>
              <w:bottom w:w="100" w:type="dxa"/>
              <w:start w:w="120" w:type="dxa"/>
              <w:end w:w="120" w:type="dxa"/>
            </w:tcMar>
            <w:vAlign w:val="center"/>
          </w:tcPr>
          <w:p>
            <w:pPr>
              <w:spacing w:after="0"/>
              <w:jc w:val="left"/>
            </w:pPr>
            <w:r>
              <w:rPr>
                <w:rFonts w:ascii="Calibri" w:hAnsi="Calibri"/>
                <w:b/>
                <w:color w:val="075623"/>
                <w:sz w:val="21"/>
              </w:rPr>
              <w:t>are set to open</w:t>
            </w:r>
          </w:p>
        </w:tc>
      </w:tr>
      <w:tr>
        <w:tc>
          <w:tcPr>
            <w:tcW w:type="dxa" w:w="650"/>
            <w:tcMar>
              <w:top w:w="100" w:type="dxa"/>
              <w:bottom w:w="100" w:type="dxa"/>
              <w:start w:w="120" w:type="dxa"/>
              <w:end w:w="120" w:type="dxa"/>
            </w:tcMar>
            <w:vAlign w:val="center"/>
            <w:shd w:fill="EAF7EE"/>
          </w:tcPr>
          <w:p>
            <w:pPr>
              <w:spacing w:after="0"/>
              <w:jc w:val="center"/>
            </w:pPr>
            <w:r>
              <w:rPr>
                <w:rFonts w:ascii="Calibri" w:hAnsi="Calibri"/>
                <w:b w:val="0"/>
                <w:color w:val="203029"/>
                <w:sz w:val="21"/>
              </w:rPr>
              <w:t>10</w:t>
            </w:r>
          </w:p>
        </w:tc>
        <w:tc>
          <w:tcPr>
            <w:tcW w:type="dxa" w:w="4030"/>
            <w:tcMar>
              <w:top w:w="100" w:type="dxa"/>
              <w:bottom w:w="100" w:type="dxa"/>
              <w:start w:w="120" w:type="dxa"/>
              <w:end w:w="120" w:type="dxa"/>
            </w:tcMar>
            <w:vAlign w:val="center"/>
            <w:shd w:fill="EAF7EE"/>
          </w:tcPr>
          <w:p>
            <w:pPr>
              <w:spacing w:after="0"/>
              <w:jc w:val="left"/>
            </w:pPr>
            <w:r>
              <w:rPr>
                <w:rFonts w:ascii="Calibri" w:hAnsi="Calibri"/>
                <w:b/>
                <w:color w:val="075623"/>
                <w:sz w:val="21"/>
              </w:rPr>
              <w:t>might not be</w:t>
            </w:r>
          </w:p>
        </w:tc>
        <w:tc>
          <w:tcPr>
            <w:tcW w:type="dxa" w:w="650"/>
            <w:tcMar>
              <w:top w:w="100" w:type="dxa"/>
              <w:bottom w:w="100" w:type="dxa"/>
              <w:start w:w="120" w:type="dxa"/>
              <w:end w:w="120" w:type="dxa"/>
            </w:tcMar>
            <w:vAlign w:val="center"/>
            <w:shd w:fill="EAF7EE"/>
          </w:tcPr>
          <w:p>
            <w:pPr>
              <w:spacing w:after="0"/>
              <w:jc w:val="center"/>
            </w:pPr>
            <w:r>
              <w:rPr>
                <w:rFonts w:ascii="Calibri" w:hAnsi="Calibri"/>
                <w:b w:val="0"/>
                <w:color w:val="203029"/>
                <w:sz w:val="21"/>
              </w:rPr>
              <w:t>20</w:t>
            </w:r>
          </w:p>
        </w:tc>
        <w:tc>
          <w:tcPr>
            <w:tcW w:type="dxa" w:w="4030"/>
            <w:tcMar>
              <w:top w:w="100" w:type="dxa"/>
              <w:bottom w:w="100" w:type="dxa"/>
              <w:start w:w="120" w:type="dxa"/>
              <w:end w:w="120" w:type="dxa"/>
            </w:tcMar>
            <w:vAlign w:val="center"/>
            <w:shd w:fill="EAF7EE"/>
          </w:tcPr>
          <w:p>
            <w:pPr>
              <w:spacing w:after="0"/>
              <w:jc w:val="left"/>
            </w:pPr>
            <w:r>
              <w:rPr>
                <w:rFonts w:ascii="Calibri" w:hAnsi="Calibri"/>
                <w:b/>
                <w:color w:val="075623"/>
                <w:sz w:val="21"/>
              </w:rPr>
              <w:t>is set to announce</w:t>
            </w:r>
          </w:p>
        </w:tc>
      </w:tr>
    </w:tbl>
    <w:sectPr w:rsidR="00FC693F" w:rsidRPr="0006063C" w:rsidSect="00034616">
      <w:headerReference w:type="default" r:id="rId9"/>
      <w:footerReference w:type="default" r:id="rId10"/>
      <w:pgSz w:w="12240" w:h="15840"/>
      <w:pgMar w:top="1123" w:right="1440" w:bottom="1037" w:left="1440" w:header="403"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360" w:val="right"/>
      </w:tabs>
      <w:spacing w:before="0" w:after="0"/>
    </w:pPr>
    <w:r>
      <w:rPr>
        <w:rFonts w:ascii="Calibri" w:hAnsi="Calibri"/>
        <w:color w:val="58655F"/>
        <w:sz w:val="16"/>
      </w:rPr>
      <w:t>learningenglish.tailtiu.org</w:t>
    </w:r>
    <w:r>
      <w:rPr>
        <w:rFonts w:ascii="Calibri" w:hAnsi="Calibri"/>
        <w:color w:val="58655F"/>
        <w:sz w:val="16"/>
      </w:rPr>
      <w:tab/>
    </w:r>
    <w:r>
      <w:rPr>
        <w:rFonts w:ascii="Calibri" w:hAnsi="Calibri"/>
        <w:color w:val="58655F"/>
        <w:sz w:val="16"/>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right"/>
      </w:tabs>
      <w:spacing w:after="0"/>
    </w:pPr>
    <w:r>
      <w:rPr>
        <w:rFonts w:ascii="Calibri" w:hAnsi="Calibri"/>
        <w:b/>
        <w:color w:val="0B6B2C"/>
        <w:sz w:val="17"/>
      </w:rPr>
      <w:t>TAILTIU LANGUAGES</w:t>
    </w:r>
    <w:r>
      <w:tab/>
    </w:r>
    <w:r>
      <w:rPr>
        <w:rFonts w:ascii="Calibri" w:hAnsi="Calibri"/>
        <w:b/>
        <w:color w:val="F28C00"/>
        <w:sz w:val="17"/>
      </w:rPr>
      <w:t>B2 GRAMMAR</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203029"/>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0B6B2C"/>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0B6B2C"/>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075623"/>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40" w:lineRule="auto" w:before="0"/>
      <w:contextualSpacing/>
    </w:pPr>
    <w:rPr>
      <w:rFonts w:asciiTheme="majorHAnsi" w:eastAsiaTheme="majorEastAsia" w:hAnsiTheme="majorHAnsi" w:cstheme="majorBidi" w:ascii="Calibri" w:hAnsi="Calibri"/>
      <w:b/>
      <w:color w:val="0B6B2C"/>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260"/>
    </w:pPr>
    <w:rPr>
      <w:rFonts w:asciiTheme="majorHAnsi" w:eastAsiaTheme="majorEastAsia" w:hAnsiTheme="majorHAnsi" w:cstheme="majorBidi" w:ascii="Calibri" w:hAnsi="Calibri"/>
      <w:i w:val="0"/>
      <w:iCs/>
      <w:color w:val="58655F"/>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color w:val="203029"/>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color w:val="203029"/>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Five Ways to Talk About the Future - Reference and Answers</dc:title>
  <dc:subject>B2 future forms reference article and exercise answer key</dc:subject>
  <dc:creator>Tailtiu Languages</dc:creator>
  <cp:keywords>B2, future forms, English grammar, space tourism</cp:keywords>
  <dc:description>generated by python-docx</dc:description>
  <cp:lastModifiedBy/>
  <cp:revision>1</cp:revision>
  <dcterms:created xsi:type="dcterms:W3CDTF">2013-12-23T23:15:00Z</dcterms:created>
  <dcterms:modified xsi:type="dcterms:W3CDTF">2013-12-23T23:15:00Z</dcterms:modified>
  <cp:category/>
</cp:coreProperties>
</file>